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D" w:rsidRPr="00D10BED" w:rsidRDefault="00D10BED" w:rsidP="00D10BED">
      <w:pPr>
        <w:pStyle w:val="a3"/>
        <w:spacing w:before="1"/>
        <w:ind w:left="2900" w:right="2903"/>
        <w:rPr>
          <w:sz w:val="32"/>
          <w:szCs w:val="32"/>
        </w:rPr>
      </w:pPr>
      <w:r w:rsidRPr="00D10BED">
        <w:rPr>
          <w:sz w:val="32"/>
          <w:szCs w:val="32"/>
        </w:rPr>
        <w:t>Муниципальное бюджетное общеобразовательное учреждение</w:t>
      </w:r>
    </w:p>
    <w:p w:rsidR="004A3B8F" w:rsidRDefault="00D10BED" w:rsidP="00D10BED">
      <w:pPr>
        <w:pStyle w:val="a3"/>
        <w:spacing w:before="1"/>
        <w:ind w:left="2900" w:right="2903"/>
        <w:rPr>
          <w:sz w:val="32"/>
          <w:szCs w:val="32"/>
        </w:rPr>
      </w:pPr>
      <w:r w:rsidRPr="00D10BED">
        <w:rPr>
          <w:sz w:val="32"/>
          <w:szCs w:val="32"/>
        </w:rPr>
        <w:t xml:space="preserve">«Средняя общеобразовательная школа № 5» </w:t>
      </w:r>
    </w:p>
    <w:p w:rsidR="00D10BED" w:rsidRDefault="00D10BED" w:rsidP="00D10BED">
      <w:pPr>
        <w:pStyle w:val="a3"/>
        <w:spacing w:before="1"/>
        <w:ind w:left="2900" w:right="2903"/>
        <w:rPr>
          <w:sz w:val="32"/>
          <w:szCs w:val="32"/>
        </w:rPr>
      </w:pPr>
      <w:r w:rsidRPr="00D10BED">
        <w:rPr>
          <w:sz w:val="32"/>
          <w:szCs w:val="32"/>
        </w:rPr>
        <w:t xml:space="preserve">города-курорта Железноводска Ставропольского края </w:t>
      </w:r>
    </w:p>
    <w:p w:rsidR="00CF19C2" w:rsidRDefault="00D10BED" w:rsidP="00D10BE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D10BE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D10BE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D10BE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10BE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D10BE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D10BE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10BE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D10BE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D10B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3B8F">
        <w:trPr>
          <w:trHeight w:val="3866"/>
        </w:trPr>
        <w:tc>
          <w:tcPr>
            <w:tcW w:w="2548" w:type="dxa"/>
          </w:tcPr>
          <w:p w:rsidR="004A3B8F" w:rsidRDefault="004A3B8F">
            <w:pPr>
              <w:pStyle w:val="TableParagraph"/>
              <w:rPr>
                <w:sz w:val="24"/>
              </w:rPr>
            </w:pPr>
          </w:p>
          <w:p w:rsidR="004A3B8F" w:rsidRDefault="004A3B8F">
            <w:pPr>
              <w:pStyle w:val="TableParagraph"/>
              <w:rPr>
                <w:sz w:val="24"/>
              </w:rPr>
            </w:pPr>
          </w:p>
          <w:p w:rsidR="004A3B8F" w:rsidRDefault="004A3B8F">
            <w:pPr>
              <w:pStyle w:val="TableParagraph"/>
              <w:rPr>
                <w:sz w:val="24"/>
              </w:rPr>
            </w:pPr>
          </w:p>
          <w:p w:rsidR="004A3B8F" w:rsidRDefault="004A3B8F">
            <w:pPr>
              <w:pStyle w:val="TableParagraph"/>
              <w:rPr>
                <w:sz w:val="24"/>
              </w:rPr>
            </w:pPr>
          </w:p>
          <w:p w:rsidR="004A3B8F" w:rsidRDefault="004A3B8F">
            <w:pPr>
              <w:pStyle w:val="TableParagraph"/>
              <w:rPr>
                <w:sz w:val="24"/>
              </w:rPr>
            </w:pPr>
          </w:p>
          <w:p w:rsidR="004A3B8F" w:rsidRDefault="004A3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Английский язык</w:t>
            </w:r>
            <w:bookmarkStart w:id="0" w:name="_GoBack"/>
            <w:bookmarkEnd w:id="0"/>
          </w:p>
        </w:tc>
        <w:tc>
          <w:tcPr>
            <w:tcW w:w="11766" w:type="dxa"/>
          </w:tcPr>
          <w:p w:rsidR="004A3B8F" w:rsidRDefault="004A3B8F" w:rsidP="004A3B8F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t>Рабочая программа среднего общего образования по иностранному (английскому) языку (базовый уровень)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образования, основной образовательной программой среднего общего образования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 по</w:t>
            </w:r>
            <w:proofErr w:type="gramEnd"/>
            <w:r>
              <w:t xml:space="preserve">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</w:t>
            </w:r>
            <w:proofErr w:type="gramStart"/>
            <w:r>
              <w:t>н-</w:t>
            </w:r>
            <w:proofErr w:type="gramEnd"/>
            <w:r>
              <w:t xml:space="preserve"> ной в федеральной рабочей программе воспитания (одобрено решением ФУМО от 12 06 2020 г ). 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t>межпредметных</w:t>
            </w:r>
            <w:proofErr w:type="spellEnd"/>
            <w: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 образования имеет особенности, обусловленные задачами развития,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>
              <w:t>аудирова</w:t>
            </w:r>
            <w:r>
              <w:t>нии</w:t>
            </w:r>
            <w:proofErr w:type="spellEnd"/>
            <w:r>
              <w:t>, чтении, письме и говорении</w:t>
            </w:r>
            <w:r>
              <w:t>. На ступени среднего общего образования на изучение предмета “Английский язык” отводится 204 часа (3 часа в неделю). ● 10 класс – 102 часа (3 часа в неделю); • 11 класс – 102 часа (3 часа в 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D10BE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D10BE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10B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D10BE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D10BE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D10BE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D10BED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10BE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D10BE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D10BE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D10BE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D10BE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D10BE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D10BE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D10B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10BE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D10BE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D10BED" w:rsidP="00D10BE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10BE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D10BE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D10BE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D10BE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D10BE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D10BE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D10BE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D10BE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D10BE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D10BE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D10BE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10BE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D10BE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10BE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10BE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D10BE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D10B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D10BE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D10BE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10BE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D10BE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10BE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10BE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D10BE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10BED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D10BE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10BE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D10BE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D10BE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10BE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D10BE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10BE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D10BED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D10BE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D10BE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D10BE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D10BE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D10BE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D10B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D10BE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D10BE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D10BE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D10BE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10BED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D10BE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D10BED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D10BE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10BE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D10BE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D10BE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D10BE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D10BED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D10BED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D10BED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D10BED" w:rsidP="00D10BED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10 и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>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4A3B8F"/>
    <w:rsid w:val="006A3177"/>
    <w:rsid w:val="00CF19C2"/>
    <w:rsid w:val="00D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Светлана</cp:lastModifiedBy>
  <cp:revision>4</cp:revision>
  <dcterms:created xsi:type="dcterms:W3CDTF">2023-11-08T16:35:00Z</dcterms:created>
  <dcterms:modified xsi:type="dcterms:W3CDTF">2023-11-08T16:45:00Z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